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C9" w:rsidRPr="00794C79" w:rsidRDefault="0089545F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center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bookmarkStart w:id="0" w:name="_heading=h.gjdgxs" w:colFirst="0" w:colLast="0"/>
      <w:bookmarkEnd w:id="0"/>
      <w:r w:rsidRPr="00794C79">
        <w:rPr>
          <w:rFonts w:ascii="Times New Roman" w:hAnsi="Times New Roman" w:cs="Times New Roman"/>
          <w:b/>
          <w:i/>
          <w:color w:val="000000"/>
          <w:sz w:val="22"/>
          <w:szCs w:val="22"/>
        </w:rPr>
        <w:t>NOTAS EXPLICATIVAS</w:t>
      </w:r>
    </w:p>
    <w:p w:rsidR="00E251C9" w:rsidRDefault="0089545F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94C79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 presente modelo procura fornecer uma base formal para a definição do objeto e condições da dispensa de </w:t>
      </w:r>
      <w:r w:rsidRPr="00794C79">
        <w:rPr>
          <w:rFonts w:ascii="Times New Roman" w:hAnsi="Times New Roman" w:cs="Times New Roman"/>
          <w:i/>
          <w:sz w:val="22"/>
          <w:szCs w:val="22"/>
        </w:rPr>
        <w:t>licitação para aquisição de bens e insumos destinados ao enfrentamento da emergência de saúde pública de importância internacional decorrente do coronavírus de que trata a Lei nº 13.979, de 6 de fevereiro de 2020.</w:t>
      </w:r>
    </w:p>
    <w:p w:rsidR="00B9019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1. O que é o Documento de Formalização da Demanda? Trata-se dos procedimentos iniciais para a aquisição de bens e serviços.</w:t>
      </w:r>
    </w:p>
    <w:p w:rsidR="00B9019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2. Quem deve elaborar esse documento? A formalização da demanda deve ser elaborada pela área que deseja contratar bens e serviços, aqui denominada “área demandante”.</w:t>
      </w:r>
    </w:p>
    <w:p w:rsidR="00B9019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3. Como referido documento deve ser elaborado? Após a abertura do processo administrativo, a área demandante deve preencher os dados constantes no formulário abaixo, providenciando a assinatura pelo responsável e pelo Dirigente da área demandante. Este documento servirá de base para a elaboração do Termo de Referência.</w:t>
      </w:r>
    </w:p>
    <w:p w:rsidR="001F74A5" w:rsidRDefault="00B9019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4. Quais são as informações/condições básicas que devem constar do Documento de Formalização da Demanda? </w:t>
      </w:r>
      <w:r w:rsidR="001F74A5">
        <w:rPr>
          <w:rFonts w:ascii="Times New Roman" w:hAnsi="Times New Roman" w:cs="Times New Roman"/>
          <w:i/>
          <w:sz w:val="22"/>
          <w:szCs w:val="22"/>
        </w:rPr>
        <w:t xml:space="preserve">Os tópicos 1 a 4 do formulário abaixo já apresentam as informações mínimas que devem ser apresentadas no documento. Caso exista alguma condição ou informação diferenciada que merece destaque, pedimos que seja incluído </w:t>
      </w:r>
      <w:r w:rsidR="00826AF5">
        <w:rPr>
          <w:rFonts w:ascii="Times New Roman" w:hAnsi="Times New Roman" w:cs="Times New Roman"/>
          <w:i/>
          <w:sz w:val="22"/>
          <w:szCs w:val="22"/>
        </w:rPr>
        <w:t>no tópico “5. Informações complementares”. Caso não exista, referido tópico deve ser excluído</w:t>
      </w:r>
      <w:r w:rsidR="001F74A5">
        <w:rPr>
          <w:rFonts w:ascii="Times New Roman" w:hAnsi="Times New Roman" w:cs="Times New Roman"/>
          <w:i/>
          <w:sz w:val="22"/>
          <w:szCs w:val="22"/>
        </w:rPr>
        <w:t>.</w:t>
      </w:r>
    </w:p>
    <w:p w:rsidR="00826AF5" w:rsidRDefault="00826AF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Os campos destacados em </w:t>
      </w:r>
      <w:r w:rsidRPr="00F62992">
        <w:rPr>
          <w:rFonts w:ascii="Times New Roman" w:hAnsi="Times New Roman" w:cs="Times New Roman"/>
          <w:i/>
          <w:color w:val="FF0000"/>
          <w:sz w:val="22"/>
          <w:szCs w:val="22"/>
        </w:rPr>
        <w:t>vermelh</w:t>
      </w:r>
      <w:r w:rsidR="00F62992">
        <w:rPr>
          <w:rFonts w:ascii="Times New Roman" w:hAnsi="Times New Roman" w:cs="Times New Roman"/>
          <w:i/>
          <w:color w:val="FF0000"/>
          <w:sz w:val="22"/>
          <w:szCs w:val="22"/>
        </w:rPr>
        <w:t>o e com caracteres XXXX,</w:t>
      </w:r>
      <w:r>
        <w:rPr>
          <w:rFonts w:ascii="Times New Roman" w:hAnsi="Times New Roman" w:cs="Times New Roman"/>
          <w:i/>
          <w:sz w:val="22"/>
          <w:szCs w:val="22"/>
        </w:rPr>
        <w:t xml:space="preserve"> devem ser preenchidos e/ou adequados de acordo com o objeto da </w:t>
      </w:r>
      <w:r w:rsidR="00F62992">
        <w:rPr>
          <w:rFonts w:ascii="Times New Roman" w:hAnsi="Times New Roman" w:cs="Times New Roman"/>
          <w:i/>
          <w:sz w:val="22"/>
          <w:szCs w:val="22"/>
        </w:rPr>
        <w:t>contratação. Ao término do preenchimento, as Notas explicativas devem ser suprimidas do documento.</w:t>
      </w:r>
      <w:bookmarkStart w:id="1" w:name="_GoBack"/>
      <w:bookmarkEnd w:id="1"/>
    </w:p>
    <w:p w:rsidR="00B90195" w:rsidRPr="00794C79" w:rsidRDefault="001F74A5" w:rsidP="00794C7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Dúvidas ou sugestões podem ser apresentadas ao e-mail </w:t>
      </w:r>
      <w:hyperlink r:id="rId8" w:history="1">
        <w:r w:rsidRPr="00EF6149">
          <w:rPr>
            <w:rStyle w:val="Hyperlink"/>
            <w:rFonts w:ascii="Times New Roman" w:hAnsi="Times New Roman" w:cs="Times New Roman"/>
            <w:i/>
            <w:sz w:val="22"/>
            <w:szCs w:val="22"/>
          </w:rPr>
          <w:t>cgsa@ufabc.edu.br</w:t>
        </w:r>
      </w:hyperlink>
      <w:r>
        <w:rPr>
          <w:rFonts w:ascii="Times New Roman" w:hAnsi="Times New Roman" w:cs="Times New Roman"/>
          <w:i/>
          <w:sz w:val="22"/>
          <w:szCs w:val="22"/>
        </w:rPr>
        <w:t xml:space="preserve"> .</w:t>
      </w:r>
    </w:p>
    <w:p w:rsidR="00E251C9" w:rsidRPr="00794C79" w:rsidRDefault="00E251C9" w:rsidP="00794C79">
      <w:pPr>
        <w:spacing w:after="120"/>
        <w:ind w:right="-15"/>
        <w:rPr>
          <w:rFonts w:ascii="Times New Roman" w:hAnsi="Times New Roman" w:cs="Times New Roman"/>
          <w:b/>
          <w:color w:val="000000"/>
          <w:sz w:val="24"/>
        </w:rPr>
      </w:pPr>
    </w:p>
    <w:p w:rsidR="00E251C9" w:rsidRPr="0000083F" w:rsidRDefault="00B90195" w:rsidP="00794C7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0083F">
        <w:rPr>
          <w:rFonts w:ascii="Times New Roman" w:hAnsi="Times New Roman" w:cs="Times New Roman"/>
          <w:b/>
          <w:color w:val="000000" w:themeColor="text1"/>
          <w:sz w:val="24"/>
        </w:rPr>
        <w:t>DOCUMENTO DE FORMALIZAÇÃO DA DEMANDA</w:t>
      </w:r>
    </w:p>
    <w:tbl>
      <w:tblPr>
        <w:tblW w:w="9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29"/>
        <w:gridCol w:w="402"/>
        <w:gridCol w:w="683"/>
        <w:gridCol w:w="1407"/>
        <w:gridCol w:w="2241"/>
        <w:gridCol w:w="708"/>
        <w:gridCol w:w="801"/>
        <w:gridCol w:w="2460"/>
      </w:tblGrid>
      <w:tr w:rsidR="0057173F" w:rsidTr="0000083F">
        <w:trPr>
          <w:trHeight w:val="720"/>
        </w:trPr>
        <w:tc>
          <w:tcPr>
            <w:tcW w:w="9031" w:type="dxa"/>
            <w:gridSpan w:val="8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Órgão:</w:t>
            </w:r>
            <w:r w:rsidR="001F74A5" w:rsidRPr="001F74A5">
              <w:rPr>
                <w:rFonts w:ascii="Times New Roman" w:eastAsia="Times New Roman" w:hAnsi="Times New Roman" w:cs="Times New Roman"/>
                <w:sz w:val="24"/>
              </w:rPr>
              <w:t xml:space="preserve"> FUNDAÇÃO UNIVERSIDADE FEDERAL DO ABC - UFABC</w:t>
            </w:r>
          </w:p>
        </w:tc>
      </w:tr>
      <w:tr w:rsidR="0057173F" w:rsidTr="0000083F">
        <w:trPr>
          <w:trHeight w:val="720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Setor requisitante (Unidade/Setor/Departamento):</w:t>
            </w:r>
            <w:r w:rsidR="0000083F" w:rsidRP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</w:t>
            </w:r>
          </w:p>
        </w:tc>
      </w:tr>
      <w:tr w:rsidR="0057173F" w:rsidTr="0000083F">
        <w:trPr>
          <w:trHeight w:val="712"/>
        </w:trPr>
        <w:tc>
          <w:tcPr>
            <w:tcW w:w="5770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Responsável pela Demanda</w:t>
            </w: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00083F" w:rsidRP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XXXXXXXXXXXXX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00083F" w:rsidRDefault="0057173F" w:rsidP="0000083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Matrícula</w:t>
            </w:r>
            <w:r w:rsidR="001F74A5" w:rsidRPr="001F74A5">
              <w:rPr>
                <w:rFonts w:ascii="Times New Roman" w:eastAsia="Times New Roman" w:hAnsi="Times New Roman" w:cs="Times New Roman"/>
                <w:sz w:val="24"/>
              </w:rPr>
              <w:t xml:space="preserve"> SIAPE</w:t>
            </w:r>
            <w:r w:rsidRPr="001F74A5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</w:t>
            </w:r>
          </w:p>
        </w:tc>
      </w:tr>
      <w:tr w:rsidR="0000083F" w:rsidTr="0000083F">
        <w:trPr>
          <w:trHeight w:val="735"/>
        </w:trPr>
        <w:tc>
          <w:tcPr>
            <w:tcW w:w="506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83F" w:rsidRPr="001F74A5" w:rsidRDefault="000008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XXXXXXXXXXXXXXXXX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083F" w:rsidRPr="001F74A5" w:rsidRDefault="0000083F" w:rsidP="0000083F">
            <w:pPr>
              <w:spacing w:after="120"/>
              <w:ind w:left="3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Telefone: (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1F74A5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3356-</w:t>
            </w:r>
            <w:r w:rsidRP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</w:t>
            </w:r>
          </w:p>
        </w:tc>
      </w:tr>
      <w:tr w:rsidR="0057173F" w:rsidTr="0000083F">
        <w:trPr>
          <w:trHeight w:val="1410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1. Objeto: </w:t>
            </w:r>
          </w:p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(Descrever o objeto da contratação)</w:t>
            </w:r>
          </w:p>
        </w:tc>
      </w:tr>
      <w:tr w:rsidR="0057173F" w:rsidTr="0000083F">
        <w:trPr>
          <w:trHeight w:val="1004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t>2. Justificativa da necessidade da contratação</w:t>
            </w:r>
          </w:p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A presente aquisição/contratação faz parte das medidas de proteção para o enfrentamento da emergência de saúde pública de importância internacional decorrente do coronavírus (COVID-19)..</w:t>
            </w:r>
          </w:p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Importante se faz ressaltar que a demanda não se encontra registrada no Plano Anual de Contratações - PAC, entretanto, a presente aquisição visa a atender demanda urgente, imprevisível em decorrência da declaração da Organização Mundial da Saúde (OMS) da pandemia do COVID-19, doença respiratória aguda causada pelo novo coronavírus (Sars-Cov-2), em virtude da rápida difusão do vírus por vários países.</w:t>
            </w:r>
          </w:p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Acresce, ainda, que a presente contratação encontra-se amparada pelo disposto pela Lei Federalnº 13.979, de 6 de fevereiro de 2020, alterada pela Medida Provisória nº  926, de  20 de março de  2020, assim como no Decreto Legislativo (PDL) 88/2020, que declara o estado de calamidade pública por causa da pandemia causada pelo novo coronavírus.</w:t>
            </w:r>
          </w:p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A contratação ocorrerá por meio de dispensa de licitação, art. 4º, da Lei Federal nº 13.979/2020, em virtude da situação emergencial.</w:t>
            </w:r>
          </w:p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0083F">
              <w:rPr>
                <w:rFonts w:ascii="Times New Roman" w:eastAsia="Times New Roman" w:hAnsi="Times New Roman" w:cs="Times New Roman"/>
                <w:sz w:val="24"/>
              </w:rPr>
              <w:t xml:space="preserve">Em relação aos quantitativos pretendidos na contratação, não obstante o disposto no inciso IV, art. 4º-B, da citada Lei Federal, no qual enfatiza que a dispensa está condicionada ao limite da parcela necessária ao atendimento da situação de emergência, justifica-se o quantitativo registrado nos autos com base em </w:t>
            </w:r>
            <w:r w:rsid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</w:t>
            </w:r>
            <w:r w:rsidRPr="001F74A5">
              <w:rPr>
                <w:rFonts w:ascii="Times New Roman" w:eastAsia="Times New Roman" w:hAnsi="Times New Roman" w:cs="Times New Roman"/>
                <w:color w:val="FF0000"/>
                <w:sz w:val="24"/>
              </w:rPr>
              <w:t>*.</w:t>
            </w:r>
          </w:p>
          <w:tbl>
            <w:tblPr>
              <w:tblW w:w="8499" w:type="dxa"/>
              <w:tblInd w:w="2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8499"/>
            </w:tblGrid>
            <w:tr w:rsidR="0057173F" w:rsidRPr="001F74A5" w:rsidTr="00826AF5">
              <w:tc>
                <w:tcPr>
                  <w:tcW w:w="849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173F" w:rsidRPr="00826AF5" w:rsidRDefault="0057173F" w:rsidP="00826A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CC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826AF5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*Nota</w:t>
                  </w:r>
                  <w:r w:rsidR="00826AF5" w:rsidRPr="00826AF5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 xml:space="preserve"> Explicativa</w:t>
                  </w:r>
                  <w:r w:rsidR="0000083F" w:rsidRPr="00826AF5">
                    <w:rPr>
                      <w:rFonts w:ascii="Times New Roman" w:hAnsi="Times New Roman" w:cs="Times New Roman"/>
                      <w:b/>
                      <w:i/>
                      <w:sz w:val="22"/>
                      <w:szCs w:val="22"/>
                    </w:rPr>
                    <w:t>:</w:t>
                  </w:r>
                  <w:r w:rsidRPr="00826AF5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 quantidade a ser adquirida deverá ser justificada, conforme diretrizes do art. 15, §7º, inc. II da Lei Geral de Licitações, estando condizente como consumo/utilização  do Órgão ou entidade, uma vez que, na situação atual, deve  ser realizada uma contratação consciente, sem estoques desnecessários, com o intuito de manter o equilíbrio do abastecimento do mercado.</w:t>
                  </w:r>
                </w:p>
              </w:tc>
            </w:tr>
          </w:tbl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Não será exigida a elaboração de estudos preliminares, conforme prediz o art. 4º-C, Lei Federal</w:t>
            </w:r>
            <w:hyperlink r:id="rId9">
              <w:r w:rsidRPr="0000083F">
                <w:rPr>
                  <w:rFonts w:ascii="Times New Roman" w:eastAsia="Times New Roman" w:hAnsi="Times New Roman" w:cs="Times New Roman"/>
                  <w:sz w:val="24"/>
                </w:rPr>
                <w:t xml:space="preserve"> nº 13.979</w:t>
              </w:r>
            </w:hyperlink>
            <w:r w:rsidRPr="000008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1F74A5">
              <w:rPr>
                <w:rFonts w:ascii="Times New Roman" w:eastAsia="Times New Roman" w:hAnsi="Times New Roman" w:cs="Times New Roman"/>
                <w:sz w:val="24"/>
              </w:rPr>
              <w:t xml:space="preserve">2020.Sendo assim, essa aquisição é de suma importância, visto que </w:t>
            </w:r>
            <w:r w:rsidRP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</w:t>
            </w:r>
            <w:r w:rsidR="0000083F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</w:t>
            </w:r>
            <w:r w:rsidRPr="001F74A5">
              <w:rPr>
                <w:rFonts w:ascii="Times New Roman" w:eastAsia="Times New Roman" w:hAnsi="Times New Roman" w:cs="Times New Roman"/>
                <w:sz w:val="24"/>
              </w:rPr>
              <w:t xml:space="preserve"> alinhados a outros cuidados e políticas já adotados por esse órgão, são instrumentos de extrema valia e relevância no combate e prevenção ao contágio e proliferação do coronavírus (COVID19). </w:t>
            </w:r>
          </w:p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173F" w:rsidTr="00826AF5">
        <w:trPr>
          <w:trHeight w:val="4663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 Descrições e quantidades</w:t>
            </w:r>
          </w:p>
          <w:tbl>
            <w:tblPr>
              <w:tblW w:w="835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983"/>
              <w:gridCol w:w="3260"/>
              <w:gridCol w:w="1417"/>
              <w:gridCol w:w="1276"/>
              <w:gridCol w:w="1418"/>
            </w:tblGrid>
            <w:tr w:rsidR="0000083F" w:rsidRPr="001F74A5" w:rsidTr="0000083F">
              <w:trPr>
                <w:trHeight w:val="720"/>
              </w:trPr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00083F" w:rsidRDefault="005717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Item</w:t>
                  </w:r>
                </w:p>
              </w:tc>
              <w:tc>
                <w:tcPr>
                  <w:tcW w:w="32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00083F" w:rsidRPr="001F74A5" w:rsidRDefault="005717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1F74A5">
                    <w:rPr>
                      <w:rFonts w:ascii="Times New Roman" w:hAnsi="Times New Roman" w:cs="Times New Roman"/>
                      <w:b/>
                      <w:sz w:val="24"/>
                    </w:rPr>
                    <w:t>D</w:t>
                  </w:r>
                  <w:r w:rsidR="0000083F">
                    <w:rPr>
                      <w:rFonts w:ascii="Times New Roman" w:hAnsi="Times New Roman" w:cs="Times New Roman"/>
                      <w:b/>
                      <w:sz w:val="24"/>
                    </w:rPr>
                    <w:t>escrição / Especificação</w:t>
                  </w:r>
                </w:p>
                <w:p w:rsidR="0057173F" w:rsidRPr="001F74A5" w:rsidRDefault="0057173F" w:rsidP="0000083F">
                  <w:pPr>
                    <w:widowControl w:val="0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1F74A5" w:rsidRDefault="0000083F" w:rsidP="0000083F">
                  <w:pPr>
                    <w:widowControl w:val="0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CATMAT/CATSER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1F74A5" w:rsidRDefault="0000083F" w:rsidP="0000083F">
                  <w:pPr>
                    <w:widowControl w:val="0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Unidade de medida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1F74A5" w:rsidRDefault="0000083F" w:rsidP="0000083F">
                  <w:pPr>
                    <w:widowControl w:val="0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Quantidade</w:t>
                  </w:r>
                </w:p>
              </w:tc>
            </w:tr>
            <w:tr w:rsidR="0000083F" w:rsidRPr="001F74A5" w:rsidTr="0000083F">
              <w:trPr>
                <w:trHeight w:val="720"/>
              </w:trPr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00083F" w:rsidRDefault="005717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00083F" w:rsidRDefault="0000083F" w:rsidP="0000083F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XXXXXXXXXXXX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00083F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00083F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7173F" w:rsidRPr="0000083F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</w:t>
                  </w:r>
                </w:p>
              </w:tc>
            </w:tr>
            <w:tr w:rsidR="0000083F" w:rsidRPr="001F74A5" w:rsidTr="0000083F">
              <w:trPr>
                <w:trHeight w:val="720"/>
              </w:trPr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00083F" w:rsidRPr="0000083F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00083F" w:rsidRPr="001F74A5" w:rsidRDefault="0000083F" w:rsidP="0000083F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XXXXXXX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0083F" w:rsidRPr="001F74A5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83E23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0083F" w:rsidRPr="001F74A5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35114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0083F" w:rsidRPr="001F74A5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5331E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</w:t>
                  </w:r>
                </w:p>
              </w:tc>
            </w:tr>
            <w:tr w:rsidR="0000083F" w:rsidRPr="001F74A5" w:rsidTr="0000083F">
              <w:trPr>
                <w:trHeight w:val="720"/>
              </w:trPr>
              <w:tc>
                <w:tcPr>
                  <w:tcW w:w="9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00083F" w:rsidRPr="0000083F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00083F" w:rsidRPr="001F74A5" w:rsidRDefault="0000083F" w:rsidP="0000083F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0083F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XXXXXXX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0083F" w:rsidRPr="001F74A5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783E23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0083F" w:rsidRPr="001F74A5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35114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XXXX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0083F" w:rsidRPr="001F74A5" w:rsidRDefault="0000083F" w:rsidP="0000083F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C5331E">
                    <w:rPr>
                      <w:rFonts w:ascii="Times New Roman" w:eastAsia="Times New Roman" w:hAnsi="Times New Roman" w:cs="Times New Roman"/>
                      <w:color w:val="FF0000"/>
                      <w:sz w:val="24"/>
                    </w:rPr>
                    <w:t>XX</w:t>
                  </w:r>
                </w:p>
              </w:tc>
            </w:tr>
          </w:tbl>
          <w:p w:rsidR="0057173F" w:rsidRPr="001F74A5" w:rsidRDefault="0057173F" w:rsidP="001F74A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b/>
                <w:sz w:val="24"/>
              </w:rPr>
              <w:t>4. Observações gerais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826AF5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4.1. Prazo de Entrega/ Execução:</w:t>
            </w:r>
            <w:r w:rsidR="00826AF5"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 (XXXXXX)</w:t>
            </w:r>
            <w:r w:rsidR="00826AF5">
              <w:rPr>
                <w:rFonts w:ascii="Times New Roman" w:eastAsia="Times New Roman" w:hAnsi="Times New Roman" w:cs="Times New Roman"/>
                <w:sz w:val="24"/>
              </w:rPr>
              <w:t xml:space="preserve"> dias úteis.  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4.2. Local e horário da Entrega/Execução:</w:t>
            </w:r>
            <w:r w:rsidR="00826AF5"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XXXXXXXXXXXXX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Pr="001F74A5" w:rsidRDefault="0057173F" w:rsidP="0000083F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4.3. Unidade e servidor responsável para esclarecimentos:</w:t>
            </w:r>
            <w:r w:rsidR="00826AF5"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XXXXXXXXXXXX</w:t>
            </w:r>
          </w:p>
        </w:tc>
      </w:tr>
      <w:tr w:rsidR="0057173F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173F" w:rsidRDefault="0057173F" w:rsidP="00826AF5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>4.4. Prazo para pagamento:</w:t>
            </w:r>
            <w:r w:rsid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30 (trinta) dias</w:t>
            </w:r>
          </w:p>
          <w:p w:rsidR="00826AF5" w:rsidRPr="00826AF5" w:rsidRDefault="00826AF5" w:rsidP="00826AF5">
            <w:pPr>
              <w:pBdr>
                <w:top w:val="single" w:sz="4" w:space="1" w:color="1F497D"/>
                <w:left w:val="single" w:sz="4" w:space="4" w:color="1F497D"/>
                <w:bottom w:val="single" w:sz="4" w:space="1" w:color="1F497D"/>
                <w:right w:val="single" w:sz="4" w:space="4" w:color="1F497D"/>
                <w:between w:val="nil"/>
              </w:pBdr>
              <w:shd w:val="clear" w:color="auto" w:fill="FFFFCC"/>
              <w:spacing w:after="120"/>
              <w:jc w:val="both"/>
              <w:rPr>
                <w:rFonts w:ascii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794C7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Nota Explicativa</w:t>
            </w:r>
            <w:r w:rsidRPr="00794C7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</w:t>
            </w:r>
            <w:r w:rsidRPr="00794C7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onforme disposto no artigo 40, XIV, “a”, da Lei 8.666, de 1993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o prazo para pagamento é de até 30 (trinta) dias. Contudo, por se tratar de uma aquisição emergencial para enfrentamento à pandemia da COVID-19, esse prazo pode ser alterado pelas condições praticadas pelo mercado. Contudo, é necessário confirmar com a ProAd/CGFC se os recursos financeiros destinados a cobrir essas despesas já se encontram disponíveis na UFABC </w:t>
            </w:r>
            <w:r w:rsidRPr="00794C7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826AF5" w:rsidTr="0000083F">
        <w:trPr>
          <w:trHeight w:val="735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6AF5" w:rsidRPr="001F74A5" w:rsidRDefault="00826AF5" w:rsidP="00826AF5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Informações complementares: </w:t>
            </w: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XXXXXXXXXXX</w:t>
            </w:r>
          </w:p>
        </w:tc>
      </w:tr>
      <w:tr w:rsidR="0057173F" w:rsidTr="0000083F">
        <w:trPr>
          <w:trHeight w:val="2070"/>
        </w:trPr>
        <w:tc>
          <w:tcPr>
            <w:tcW w:w="90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826AF5" w:rsidRDefault="0057173F" w:rsidP="001F74A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Local/ data</w:t>
            </w:r>
          </w:p>
          <w:p w:rsidR="0057173F" w:rsidRPr="00826AF5" w:rsidRDefault="0057173F" w:rsidP="001F74A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Responsável pela Formalização da Demanda</w:t>
            </w:r>
          </w:p>
          <w:p w:rsidR="0057173F" w:rsidRPr="001F74A5" w:rsidRDefault="0057173F" w:rsidP="001F74A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(Nome, matrícula e assinatura)</w:t>
            </w:r>
          </w:p>
        </w:tc>
      </w:tr>
      <w:tr w:rsidR="0057173F" w:rsidTr="0000083F">
        <w:trPr>
          <w:trHeight w:val="1200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Pr="001F74A5" w:rsidRDefault="0057173F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74A5">
              <w:rPr>
                <w:rFonts w:ascii="Times New Roman" w:eastAsia="Times New Roman" w:hAnsi="Times New Roman" w:cs="Times New Roman"/>
                <w:sz w:val="24"/>
              </w:rPr>
              <w:t xml:space="preserve"> Em conformidade com a legislação que rege o tema, encaminhe-se à autoridade competente para análise de conveniência e oportunidade para a contratação e demais providências cabíveis.</w:t>
            </w:r>
          </w:p>
        </w:tc>
      </w:tr>
      <w:tr w:rsidR="0057173F" w:rsidTr="0000083F">
        <w:trPr>
          <w:trHeight w:val="1395"/>
        </w:trPr>
        <w:tc>
          <w:tcPr>
            <w:tcW w:w="903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826AF5" w:rsidP="001F74A5">
            <w:pPr>
              <w:spacing w:after="120"/>
              <w:ind w:lef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acordo. </w:t>
            </w:r>
          </w:p>
          <w:p w:rsidR="00826AF5" w:rsidRPr="00826AF5" w:rsidRDefault="00826AF5" w:rsidP="00826AF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Local/ data</w:t>
            </w:r>
          </w:p>
          <w:p w:rsidR="00826AF5" w:rsidRPr="00826AF5" w:rsidRDefault="00826AF5" w:rsidP="00826AF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Responsável pela Área Demandante</w:t>
            </w:r>
          </w:p>
          <w:p w:rsidR="0057173F" w:rsidRPr="001F74A5" w:rsidRDefault="0057173F" w:rsidP="00826AF5">
            <w:pPr>
              <w:spacing w:after="120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6AF5">
              <w:rPr>
                <w:rFonts w:ascii="Times New Roman" w:eastAsia="Times New Roman" w:hAnsi="Times New Roman" w:cs="Times New Roman"/>
                <w:color w:val="FF0000"/>
                <w:sz w:val="24"/>
              </w:rPr>
              <w:t>(Nome, matrícula e assinatura)</w:t>
            </w:r>
          </w:p>
        </w:tc>
      </w:tr>
      <w:tr w:rsidR="0057173F" w:rsidTr="0000083F">
        <w:trPr>
          <w:trHeight w:val="2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73F" w:rsidRDefault="0057173F" w:rsidP="00395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7173F" w:rsidRDefault="0057173F" w:rsidP="0057173F">
      <w:pPr>
        <w:spacing w:before="240" w:after="240"/>
        <w:rPr>
          <w:rFonts w:ascii="Times New Roman" w:eastAsia="Times New Roman" w:hAnsi="Times New Roman" w:cs="Times New Roman"/>
          <w:sz w:val="24"/>
        </w:rPr>
      </w:pPr>
    </w:p>
    <w:p w:rsidR="0057173F" w:rsidRDefault="0057173F" w:rsidP="0057173F">
      <w:pPr>
        <w:rPr>
          <w:rFonts w:ascii="Times New Roman" w:eastAsia="Times New Roman" w:hAnsi="Times New Roman" w:cs="Times New Roman"/>
          <w:b/>
          <w:sz w:val="24"/>
        </w:rPr>
      </w:pPr>
    </w:p>
    <w:p w:rsidR="0057173F" w:rsidRPr="00794C79" w:rsidRDefault="0057173F" w:rsidP="0057173F">
      <w:pPr>
        <w:spacing w:after="120"/>
        <w:rPr>
          <w:rFonts w:ascii="Times New Roman" w:hAnsi="Times New Roman" w:cs="Times New Roman"/>
          <w:b/>
          <w:color w:val="000000"/>
          <w:sz w:val="24"/>
        </w:rPr>
      </w:pPr>
    </w:p>
    <w:sectPr w:rsidR="0057173F" w:rsidRPr="00794C79" w:rsidSect="00A366B0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04" w:rsidRDefault="00290404">
      <w:r>
        <w:separator/>
      </w:r>
    </w:p>
  </w:endnote>
  <w:endnote w:type="continuationSeparator" w:id="1">
    <w:p w:rsidR="00290404" w:rsidRDefault="0029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:rsidR="00E251C9" w:rsidRDefault="001F7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Modelo de Documento de Formalização da Demanda, adaptado do modelo disponível em </w:t>
    </w:r>
    <w:hyperlink r:id="rId1" w:history="1">
      <w:r w:rsidRPr="001F74A5">
        <w:rPr>
          <w:rStyle w:val="Hyperlink"/>
          <w:sz w:val="12"/>
          <w:szCs w:val="12"/>
        </w:rPr>
        <w:t>https://www.comprasgovernamentais.gov.br/index.php/gestorpublico/1272-contratacoes-emergenciais-de-insumos-de-saude-como-montar-o-seu-processo</w:t>
      </w:r>
    </w:hyperlink>
  </w:p>
  <w:p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 xml:space="preserve">Atualização: </w:t>
    </w:r>
    <w:r>
      <w:rPr>
        <w:sz w:val="12"/>
        <w:szCs w:val="12"/>
      </w:rPr>
      <w:t>23/03/2020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04" w:rsidRDefault="00290404">
      <w:r>
        <w:separator/>
      </w:r>
    </w:p>
  </w:footnote>
  <w:footnote w:type="continuationSeparator" w:id="1">
    <w:p w:rsidR="00290404" w:rsidRDefault="0029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CF" w:rsidRDefault="000701CF" w:rsidP="000701CF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2432050</wp:posOffset>
          </wp:positionH>
          <wp:positionV relativeFrom="page">
            <wp:posOffset>445770</wp:posOffset>
          </wp:positionV>
          <wp:extent cx="773430" cy="827405"/>
          <wp:effectExtent l="0" t="0" r="7620" b="0"/>
          <wp:wrapTopAndBottom/>
          <wp:docPr id="1" name="Imagem 1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Default="000701CF" w:rsidP="000701CF">
    <w:pPr>
      <w:jc w:val="center"/>
      <w:rPr>
        <w:b/>
      </w:rPr>
    </w:pPr>
  </w:p>
  <w:p w:rsidR="000701CF" w:rsidRPr="00AB0837" w:rsidRDefault="000701CF" w:rsidP="000701CF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0701CF" w:rsidRDefault="000701CF" w:rsidP="000701CF">
    <w:pPr>
      <w:jc w:val="center"/>
      <w:rPr>
        <w:b/>
      </w:rPr>
    </w:pPr>
    <w:r w:rsidRPr="00AB0837">
      <w:rPr>
        <w:b/>
      </w:rPr>
      <w:t>Fundação Universidade Federal do ABC</w:t>
    </w:r>
  </w:p>
  <w:p w:rsidR="000701CF" w:rsidRDefault="000701CF" w:rsidP="000701CF">
    <w:pPr>
      <w:jc w:val="center"/>
      <w:rPr>
        <w:b/>
      </w:rPr>
    </w:pPr>
  </w:p>
  <w:p w:rsidR="000701CF" w:rsidRDefault="000701C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1D1"/>
    <w:multiLevelType w:val="multilevel"/>
    <w:tmpl w:val="7780E00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BB4C50"/>
    <w:multiLevelType w:val="multilevel"/>
    <w:tmpl w:val="98A47BB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51C9"/>
    <w:rsid w:val="0000083F"/>
    <w:rsid w:val="000301AF"/>
    <w:rsid w:val="000701CF"/>
    <w:rsid w:val="0008333C"/>
    <w:rsid w:val="00147C78"/>
    <w:rsid w:val="001A4F6E"/>
    <w:rsid w:val="001C397B"/>
    <w:rsid w:val="001C5E64"/>
    <w:rsid w:val="001F74A5"/>
    <w:rsid w:val="00280423"/>
    <w:rsid w:val="00290404"/>
    <w:rsid w:val="002E0673"/>
    <w:rsid w:val="00342295"/>
    <w:rsid w:val="00370393"/>
    <w:rsid w:val="003F098C"/>
    <w:rsid w:val="004F0599"/>
    <w:rsid w:val="0057173F"/>
    <w:rsid w:val="005A0498"/>
    <w:rsid w:val="00794C79"/>
    <w:rsid w:val="00826AF5"/>
    <w:rsid w:val="008534C1"/>
    <w:rsid w:val="0089545F"/>
    <w:rsid w:val="00A366B0"/>
    <w:rsid w:val="00A4482D"/>
    <w:rsid w:val="00AA1590"/>
    <w:rsid w:val="00B24243"/>
    <w:rsid w:val="00B90195"/>
    <w:rsid w:val="00C43381"/>
    <w:rsid w:val="00D34A89"/>
    <w:rsid w:val="00D44751"/>
    <w:rsid w:val="00E251C9"/>
    <w:rsid w:val="00F51783"/>
    <w:rsid w:val="00F6117F"/>
    <w:rsid w:val="00F62992"/>
    <w:rsid w:val="00F84C9C"/>
    <w:rsid w:val="00F9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366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366B0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366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366B0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366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366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366B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366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uiPriority w:val="99"/>
    <w:semiHidden/>
    <w:unhideWhenUsed/>
    <w:rsid w:val="00A366B0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A366B0"/>
    <w:rPr>
      <w:szCs w:val="20"/>
    </w:rPr>
  </w:style>
  <w:style w:type="character" w:customStyle="1" w:styleId="TextodecomentrioChar">
    <w:name w:val="Texto de comentário Char"/>
    <w:basedOn w:val="Fontepargpadr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sid w:val="00A366B0"/>
    <w:rPr>
      <w:b/>
      <w:bCs/>
    </w:rPr>
  </w:style>
  <w:style w:type="character" w:customStyle="1" w:styleId="AssuntodocomentrioChar">
    <w:name w:val="Assunto do comentário Char"/>
    <w:basedOn w:val="TextodecomentrioChar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paragraph" w:styleId="Subttulo">
    <w:name w:val="Subtitle"/>
    <w:basedOn w:val="Normal"/>
    <w:next w:val="Normal"/>
    <w:uiPriority w:val="11"/>
    <w:qFormat/>
    <w:rsid w:val="00A366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366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A366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uiPriority w:val="99"/>
    <w:semiHidden/>
    <w:rsid w:val="00A366B0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A366B0"/>
    <w:rPr>
      <w:sz w:val="20"/>
      <w:szCs w:val="20"/>
    </w:rPr>
  </w:style>
  <w:style w:type="table" w:customStyle="1" w:styleId="a1">
    <w:basedOn w:val="TableNormal1"/>
    <w:rsid w:val="00A366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A366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sid w:val="00A366B0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A366B0"/>
    <w:rPr>
      <w:sz w:val="20"/>
      <w:szCs w:val="20"/>
    </w:rPr>
  </w:style>
  <w:style w:type="table" w:customStyle="1" w:styleId="a3">
    <w:basedOn w:val="TableNormal1"/>
    <w:rsid w:val="00A366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A366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nhideWhenUsed/>
    <w:rsid w:val="00794C79"/>
    <w:pPr>
      <w:spacing w:after="120" w:line="480" w:lineRule="auto"/>
    </w:pPr>
    <w:rPr>
      <w:rFonts w:ascii="Times New Roman" w:eastAsia="Times New Roman" w:hAnsi="Times New Roman" w:cs="Times New Roman"/>
      <w:sz w:val="24"/>
      <w:lang/>
    </w:rPr>
  </w:style>
  <w:style w:type="character" w:customStyle="1" w:styleId="Corpodetexto2Char">
    <w:name w:val="Corpo de texto 2 Char"/>
    <w:basedOn w:val="Fontepargpadro"/>
    <w:link w:val="Corpodetexto2"/>
    <w:rsid w:val="00794C79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Pr>
      <w:szCs w:val="20"/>
    </w:rPr>
  </w:style>
  <w:style w:type="character" w:customStyle="1" w:styleId="TextodecomentrioChar">
    <w:name w:val="Texto de comentário Char"/>
    <w:basedOn w:val="Fontepargpadr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nhideWhenUsed/>
    <w:rsid w:val="00794C79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794C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sa@ufabc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0/Lei/L13979.ht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prasgovernamentais.gov.br/index.php/gestorpublico/1272-contratacoes-emergenciais-de-insumos-de-saude-como-montar-o-seu-process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Mr+g6HSJjzYTMgQ11jAgfxk5xA==">AMUW2mV+QCKBfur/zxpBlRK3WXJbf+9cBlKEdVq9zfURaEfMykS0cJkZzsJKZ5xG7z+/Gt4rRV9pv09UbSQiXNFCwKSm3k6h1c/PzhLPALbutG0XaxbxgJrXQtpTADvHAh29Z0lDd3vF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Vanis</cp:lastModifiedBy>
  <cp:revision>2</cp:revision>
  <dcterms:created xsi:type="dcterms:W3CDTF">2020-06-26T11:52:00Z</dcterms:created>
  <dcterms:modified xsi:type="dcterms:W3CDTF">2020-06-26T11:52:00Z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